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164B41BC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563F217" w14:textId="77777777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1D91972B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2599FE" w14:textId="77777777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756103B1" w14:textId="77777777" w:rsidR="005241A2" w:rsidRDefault="00144F5B" w:rsidP="00E62942">
      <w:pPr>
        <w:pStyle w:val="Bezmezer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505D17" wp14:editId="1C1034F7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13C6C4" w14:textId="77777777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05D17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7713C6C4" w14:textId="77777777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158D90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25D78A8C" w14:textId="5876FA82" w:rsidR="005241A2" w:rsidRPr="00BF1C46" w:rsidRDefault="00126BA0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Závěry z jednání Mezinárodního poradního orgánu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58EAF067" w14:textId="6BF5C4E6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126BA0">
              <w:rPr>
                <w:b/>
                <w:color w:val="0070C0"/>
                <w:sz w:val="28"/>
                <w:szCs w:val="28"/>
              </w:rPr>
              <w:t>16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126BA0">
              <w:rPr>
                <w:b/>
                <w:color w:val="0070C0"/>
                <w:sz w:val="28"/>
                <w:szCs w:val="28"/>
              </w:rPr>
              <w:t>8</w:t>
            </w:r>
          </w:p>
        </w:tc>
      </w:tr>
      <w:tr w:rsidR="005241A2" w:rsidRPr="00DE2BC0" w14:paraId="0C8310D8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E4A799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47FE9410" w14:textId="01330688" w:rsidR="005241A2" w:rsidRPr="002D3C4B" w:rsidRDefault="00126BA0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dr. Gjuričová</w:t>
            </w:r>
            <w:r w:rsidR="005241A2" w:rsidRPr="002D3C4B">
              <w:rPr>
                <w:bCs/>
                <w:i/>
                <w:noProof/>
              </w:rPr>
              <w:t xml:space="preserve"> (člen Rady)</w:t>
            </w:r>
          </w:p>
        </w:tc>
      </w:tr>
      <w:tr w:rsidR="005241A2" w:rsidRPr="00DE2BC0" w14:paraId="0AB2E98D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1B29D89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F6682C1" w14:textId="4E910525" w:rsidR="005241A2" w:rsidRPr="002D3C4B" w:rsidRDefault="00126BA0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Mgr. Zábojníková</w:t>
            </w:r>
            <w:r w:rsidR="005241A2" w:rsidRPr="002D3C4B">
              <w:rPr>
                <w:bCs/>
                <w:i/>
                <w:noProof/>
              </w:rPr>
              <w:t xml:space="preserve">, Odbor podpory Rady, </w:t>
            </w:r>
            <w:r w:rsidR="0074101E">
              <w:rPr>
                <w:bCs/>
                <w:i/>
                <w:noProof/>
              </w:rPr>
              <w:t>29</w:t>
            </w:r>
            <w:r w:rsidR="005241A2" w:rsidRPr="002D3C4B">
              <w:rPr>
                <w:bCs/>
                <w:i/>
                <w:noProof/>
              </w:rPr>
              <w:t>.</w:t>
            </w:r>
            <w:r>
              <w:rPr>
                <w:bCs/>
                <w:i/>
                <w:noProof/>
              </w:rPr>
              <w:t>10</w:t>
            </w:r>
            <w:r w:rsidR="005241A2" w:rsidRPr="002D3C4B">
              <w:rPr>
                <w:bCs/>
                <w:i/>
                <w:noProof/>
              </w:rPr>
              <w:t>.2024</w:t>
            </w:r>
          </w:p>
        </w:tc>
      </w:tr>
      <w:tr w:rsidR="005241A2" w:rsidRPr="00DE2BC0" w14:paraId="7C16E591" w14:textId="77777777" w:rsidTr="00B3407F">
        <w:trPr>
          <w:trHeight w:val="821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CB68BFC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224FA25" w14:textId="78DC4F61" w:rsidR="005241A2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je předložen </w:t>
            </w:r>
            <w:r w:rsidR="00DD4938">
              <w:t xml:space="preserve">materiál </w:t>
            </w:r>
            <w:proofErr w:type="spellStart"/>
            <w:r w:rsidR="00DD4938">
              <w:t>National</w:t>
            </w:r>
            <w:proofErr w:type="spellEnd"/>
            <w:r w:rsidR="00DD4938">
              <w:t xml:space="preserve"> </w:t>
            </w:r>
            <w:proofErr w:type="spellStart"/>
            <w:r w:rsidR="00DD4938">
              <w:t>priorities</w:t>
            </w:r>
            <w:proofErr w:type="spellEnd"/>
            <w:r w:rsidR="00DD4938">
              <w:t xml:space="preserve"> </w:t>
            </w:r>
            <w:proofErr w:type="spellStart"/>
            <w:r w:rsidR="00DD4938">
              <w:t>of</w:t>
            </w:r>
            <w:proofErr w:type="spellEnd"/>
            <w:r w:rsidR="00DD4938">
              <w:t xml:space="preserve"> </w:t>
            </w:r>
            <w:proofErr w:type="spellStart"/>
            <w:r w:rsidR="00DD4938">
              <w:t>oriented</w:t>
            </w:r>
            <w:proofErr w:type="spellEnd"/>
            <w:r w:rsidR="00DD4938">
              <w:t xml:space="preserve"> </w:t>
            </w:r>
            <w:proofErr w:type="spellStart"/>
            <w:r w:rsidR="00DD4938">
              <w:t>research</w:t>
            </w:r>
            <w:proofErr w:type="spellEnd"/>
            <w:r w:rsidR="00DD4938">
              <w:t xml:space="preserve"> </w:t>
            </w:r>
            <w:r w:rsidR="00B3407F">
              <w:t>– ISAB</w:t>
            </w:r>
            <w:r w:rsidR="006569A9">
              <w:t xml:space="preserve"> </w:t>
            </w:r>
            <w:proofErr w:type="spellStart"/>
            <w:r w:rsidR="006569A9">
              <w:t>recommendation</w:t>
            </w:r>
            <w:proofErr w:type="spellEnd"/>
            <w:r w:rsidR="00DD4938">
              <w:t xml:space="preserve">. Tento materiál představuje komentáře a návrhy Mezinárodního poradního orgánu (dále také „ISAB“), jak bylo dohodnuto na společném jednání ISAB a </w:t>
            </w:r>
            <w:r w:rsidR="0074101E">
              <w:t xml:space="preserve">Rady dne </w:t>
            </w:r>
            <w:r w:rsidR="00DD4938">
              <w:t xml:space="preserve">21. května 2025. Mezinárodní poradní orgán složený z uznávaných mezinárodních vědců ve svých oborech prostudoval v letních měsících verzi návrhu NPOV platnou k červnu 2025 a poskytl k němu svůj komentář a doporučení. </w:t>
            </w:r>
            <w:r w:rsidR="00E40AE5">
              <w:t>Přestože</w:t>
            </w:r>
            <w:r w:rsidR="00DD4938">
              <w:t xml:space="preserve"> </w:t>
            </w:r>
            <w:r w:rsidR="00BB2E8C">
              <w:t xml:space="preserve">následně </w:t>
            </w:r>
            <w:r w:rsidR="00DD4938">
              <w:t>došlo k doplnění textu</w:t>
            </w:r>
            <w:r w:rsidR="00BB2E8C">
              <w:t xml:space="preserve"> návrhu NPOV</w:t>
            </w:r>
            <w:r w:rsidR="00DD4938">
              <w:t>, toto doplnění neobsahuje změny v té části textu, ke které se ISAB vyjádřil</w:t>
            </w:r>
            <w:r w:rsidR="00BB2E8C">
              <w:t>. ISAB vydal své doporučení jednak k návrhu NPOV obecně, jednak navrhl doplnění či úpravy konkrétních navržených priorit.</w:t>
            </w:r>
          </w:p>
          <w:p w14:paraId="411D98EC" w14:textId="09E11EF3" w:rsidR="0019577E" w:rsidRDefault="00E40AE5" w:rsidP="00E40AE5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E40AE5">
              <w:t xml:space="preserve">Dokument podle ISAB </w:t>
            </w:r>
            <w:r w:rsidR="006569A9">
              <w:t xml:space="preserve">na jedné straně výběrem oblastí I.-VI. redukuje některé velké výzkumné výzvy (např. zdravotnický výzkum redukuje pouze na péči o stárnoucí populaci), zatímco na straně druhé uvnitř </w:t>
            </w:r>
            <w:r w:rsidR="00B3407F">
              <w:t>těchto</w:t>
            </w:r>
            <w:r w:rsidR="006569A9">
              <w:t xml:space="preserve"> oblastí </w:t>
            </w:r>
            <w:r w:rsidRPr="00E40AE5">
              <w:t xml:space="preserve">často zůstává na obecné úrovni a postrádá </w:t>
            </w:r>
            <w:r w:rsidR="006569A9">
              <w:t xml:space="preserve">konkrétní </w:t>
            </w:r>
            <w:r w:rsidRPr="00E40AE5">
              <w:t>vymezení prioritních oblastí, které by měly být strategicky podporovány.</w:t>
            </w:r>
            <w:r>
              <w:t xml:space="preserve"> </w:t>
            </w:r>
            <w:r w:rsidRPr="00E40AE5">
              <w:t xml:space="preserve">Zásadní doporučení ISAB </w:t>
            </w:r>
            <w:r>
              <w:t xml:space="preserve">proto </w:t>
            </w:r>
            <w:r w:rsidRPr="00E40AE5">
              <w:t xml:space="preserve">směřují k větší konkrétnosti a strategickému zaměření výzkumných priorit. Dokument by měl jasněji definovat, které oblasti výzkumu jsou považovány za klíčové pro budoucí rozvoj České republiky. </w:t>
            </w:r>
            <w:r>
              <w:t xml:space="preserve">ISAB doporučuje soustředit se na oblasti, ve kterých má česká věda </w:t>
            </w:r>
            <w:r w:rsidR="006569A9">
              <w:t xml:space="preserve">dobrou pozici </w:t>
            </w:r>
            <w:r>
              <w:t>místo snahy dohnat všechny oblasti, kde zaostává</w:t>
            </w:r>
            <w:r w:rsidR="006569A9">
              <w:t xml:space="preserve"> nebo které jsou obsazeny mnohem silnějšími vědními systémy.</w:t>
            </w:r>
            <w:r>
              <w:t xml:space="preserve"> </w:t>
            </w:r>
            <w:r w:rsidR="0019577E">
              <w:t xml:space="preserve">Příkladem může být předchozí úspěšné přijetí </w:t>
            </w:r>
            <w:r w:rsidR="00100692">
              <w:t xml:space="preserve">německé </w:t>
            </w:r>
            <w:r w:rsidR="0019577E">
              <w:t>vize Průmysl 4.0, ke které se Česká republika připojila jako první z evropských zemí</w:t>
            </w:r>
            <w:r w:rsidR="00100692">
              <w:t xml:space="preserve"> a je v této oblasti lídrem.</w:t>
            </w:r>
          </w:p>
          <w:p w14:paraId="1BD90210" w14:textId="1EFB1C62" w:rsidR="0019577E" w:rsidRDefault="00E40AE5" w:rsidP="00E40AE5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Zvláštní důraz je kladen na oblast umělé inteligence, kde je doporučeno soustředit se na vývoj agentní AI</w:t>
            </w:r>
            <w:r w:rsidR="006569A9">
              <w:t>, hybridních systémů</w:t>
            </w:r>
            <w:r>
              <w:t xml:space="preserve"> </w:t>
            </w:r>
            <w:r w:rsidR="006569A9">
              <w:t xml:space="preserve">a dalších typů AI </w:t>
            </w:r>
            <w:r>
              <w:t xml:space="preserve">místo </w:t>
            </w:r>
            <w:r w:rsidR="006569A9">
              <w:t xml:space="preserve">velkých </w:t>
            </w:r>
            <w:r>
              <w:t xml:space="preserve">jazykových modelů s velkou energetickou náročností. </w:t>
            </w:r>
            <w:r w:rsidR="006569A9">
              <w:t xml:space="preserve">Další </w:t>
            </w:r>
            <w:r w:rsidR="0019577E">
              <w:t>významnou oblastí je oblast</w:t>
            </w:r>
            <w:r w:rsidR="0019577E" w:rsidRPr="0019577E">
              <w:t xml:space="preserve"> zdravotnictví a biomedicíny</w:t>
            </w:r>
            <w:r w:rsidR="0019577E">
              <w:t>, kde</w:t>
            </w:r>
            <w:r w:rsidR="0019577E" w:rsidRPr="0019577E">
              <w:t xml:space="preserve"> ISAB doporučuje posílit základní výzkum v molekulární, genetické a buněčné biologii, který má největší potenciál pro zásadní inovace. Dále doporučuje rozšířit využití moderních AI nástrojů v diagnostice, vývoji léčiv a modelování nemocí, včetně podpory výzkumu genových terapií, buněčných terapií a rozhraní mozek–počítač</w:t>
            </w:r>
            <w:r w:rsidR="0019577E">
              <w:t xml:space="preserve"> (BCI)</w:t>
            </w:r>
            <w:r w:rsidR="0019577E" w:rsidRPr="0019577E">
              <w:t>.</w:t>
            </w:r>
            <w:r w:rsidR="0019577E">
              <w:t xml:space="preserve"> </w:t>
            </w:r>
            <w:r w:rsidR="00A15CAC">
              <w:t>ISAB dále jako významnou prioritu i silnou oblast českého výzkumu vyzdvihl oblast společenských dopadů technologických změn.</w:t>
            </w:r>
          </w:p>
          <w:p w14:paraId="43A8D848" w14:textId="7FBE86D6" w:rsidR="00100692" w:rsidRDefault="00100692" w:rsidP="00E40AE5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V neposlední řadě je pak doporučeno porovnání s obdobnými dokumenty ze zahraničí, zejména z EU, konkrétně analyzovat, jak NPOV koresponduj</w:t>
            </w:r>
            <w:r w:rsidR="006569A9">
              <w:t>í</w:t>
            </w:r>
            <w:r>
              <w:t xml:space="preserve"> s </w:t>
            </w:r>
            <w:r w:rsidRPr="00100692">
              <w:t>Agend</w:t>
            </w:r>
            <w:r>
              <w:t>o</w:t>
            </w:r>
            <w:r w:rsidRPr="00100692">
              <w:t>u politiky Evropského výzkumného prostoru (ERA) pro období 2025–2027</w:t>
            </w:r>
            <w:r w:rsidR="00A15CAC">
              <w:t xml:space="preserve">, a </w:t>
            </w:r>
            <w:r w:rsidR="006569A9">
              <w:t xml:space="preserve">seznámit se s nedávno přijatým německým programem </w:t>
            </w:r>
            <w:proofErr w:type="spellStart"/>
            <w:r w:rsidR="006569A9">
              <w:t>Hightech</w:t>
            </w:r>
            <w:proofErr w:type="spellEnd"/>
            <w:r w:rsidR="006569A9">
              <w:t xml:space="preserve">-Agenda, jenž transparentně přináší </w:t>
            </w:r>
            <w:r w:rsidR="00A15CAC">
              <w:t xml:space="preserve">nové </w:t>
            </w:r>
            <w:r w:rsidR="006569A9">
              <w:t xml:space="preserve">finance </w:t>
            </w:r>
            <w:r w:rsidR="00A15CAC">
              <w:t xml:space="preserve">na vybrané strategické oblasti </w:t>
            </w:r>
            <w:r w:rsidR="006569A9">
              <w:t>výzkum</w:t>
            </w:r>
            <w:r w:rsidR="00A15CAC">
              <w:t>u</w:t>
            </w:r>
            <w:r>
              <w:t>.</w:t>
            </w:r>
          </w:p>
          <w:p w14:paraId="7E625272" w14:textId="05DA1EB7" w:rsidR="00E40AE5" w:rsidRPr="00E40AE5" w:rsidRDefault="0019577E" w:rsidP="00E40AE5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lastRenderedPageBreak/>
              <w:t>Konkrétní text doporučení je obsažen v příloze č. 1. Zápis z online jednání obsahuje příloha č. 2.</w:t>
            </w:r>
          </w:p>
          <w:p w14:paraId="6F9D2EBC" w14:textId="40EAB2B8" w:rsidR="00CA5BA5" w:rsidRPr="009719F6" w:rsidRDefault="00CA5BA5" w:rsidP="00CA5BA5">
            <w:pPr>
              <w:keepNext/>
              <w:tabs>
                <w:tab w:val="left" w:pos="-26"/>
                <w:tab w:val="left" w:pos="900"/>
              </w:tabs>
              <w:spacing w:after="120"/>
            </w:pPr>
          </w:p>
        </w:tc>
      </w:tr>
      <w:tr w:rsidR="005241A2" w:rsidRPr="00DE2BC0" w14:paraId="5A4F6048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71F4DF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3634235E" w14:textId="10BDC156" w:rsidR="005241A2" w:rsidRDefault="00CA5BA5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NPOV </w:t>
            </w:r>
            <w:r w:rsidR="00144D20">
              <w:t xml:space="preserve">– ISAB </w:t>
            </w:r>
            <w:proofErr w:type="spellStart"/>
            <w:r w:rsidR="0074101E">
              <w:t>recommendation</w:t>
            </w:r>
            <w:proofErr w:type="spellEnd"/>
          </w:p>
          <w:p w14:paraId="4FCBD8F7" w14:textId="6B58521A" w:rsidR="00CA5BA5" w:rsidRPr="00826B2F" w:rsidRDefault="00144D20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proofErr w:type="spellStart"/>
            <w:r>
              <w:t>Minutes</w:t>
            </w:r>
            <w:proofErr w:type="spellEnd"/>
            <w:r>
              <w:t xml:space="preserve"> – ISAB meeting_15_10_25</w:t>
            </w:r>
          </w:p>
        </w:tc>
      </w:tr>
    </w:tbl>
    <w:p w14:paraId="4637106A" w14:textId="77777777" w:rsidR="00144F5B" w:rsidRDefault="00144F5B" w:rsidP="00E62942">
      <w:pPr>
        <w:pStyle w:val="Bezmezer"/>
        <w:jc w:val="left"/>
      </w:pPr>
    </w:p>
    <w:p w14:paraId="497D7DCF" w14:textId="77777777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32CF3" w14:textId="77777777" w:rsidR="00F24868" w:rsidRDefault="00F24868" w:rsidP="00604B45">
      <w:r>
        <w:separator/>
      </w:r>
    </w:p>
  </w:endnote>
  <w:endnote w:type="continuationSeparator" w:id="0">
    <w:p w14:paraId="29EC1E7C" w14:textId="77777777" w:rsidR="00F24868" w:rsidRDefault="00F24868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1F5492" w14:textId="77A7A832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C362F57" wp14:editId="35C2E0A4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0A0D34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B3407F">
              <w:rPr>
                <w:sz w:val="16"/>
                <w:szCs w:val="16"/>
              </w:rPr>
              <w:t>16</w:t>
            </w:r>
            <w:r w:rsidR="00B3407F" w:rsidRPr="00144F5B">
              <w:rPr>
                <w:sz w:val="16"/>
                <w:szCs w:val="16"/>
              </w:rPr>
              <w:t>/A</w:t>
            </w:r>
            <w:r w:rsidR="00B3407F">
              <w:rPr>
                <w:sz w:val="16"/>
                <w:szCs w:val="16"/>
              </w:rPr>
              <w:t>8</w:t>
            </w:r>
            <w:r w:rsidR="00B3407F">
              <w:t xml:space="preserve"> </w:t>
            </w:r>
            <w:r w:rsidR="00B3407F">
              <w:rPr>
                <w:sz w:val="16"/>
                <w:szCs w:val="16"/>
              </w:rPr>
              <w:t>Závěry z jednání Mezinárodního poradního orgánu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A15CAC">
              <w:rPr>
                <w:noProof/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A15CAC">
              <w:rPr>
                <w:noProof/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3395" w14:textId="77777777" w:rsidR="00E56D04" w:rsidRPr="00E56D04" w:rsidRDefault="00D53021" w:rsidP="00126D7E">
    <w:pPr>
      <w:pStyle w:val="Zpat1"/>
    </w:pPr>
    <w:r w:rsidRPr="008120CD">
      <w:rPr>
        <w:noProof/>
        <w:color w:val="002060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BBF0D2" wp14:editId="24128F6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349FEE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63F5A741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20B81" w14:textId="77777777" w:rsidR="00F24868" w:rsidRDefault="00F24868" w:rsidP="00604B45">
      <w:r>
        <w:separator/>
      </w:r>
    </w:p>
  </w:footnote>
  <w:footnote w:type="continuationSeparator" w:id="0">
    <w:p w14:paraId="32A2A89C" w14:textId="77777777" w:rsidR="00F24868" w:rsidRDefault="00F24868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52E9F" w14:textId="77777777" w:rsidR="006F1181" w:rsidRDefault="006F1181">
    <w:pPr>
      <w:pStyle w:val="Zhlav"/>
    </w:pPr>
    <w:r>
      <w:rPr>
        <w:noProof/>
        <w:lang w:eastAsia="cs-CZ"/>
      </w:rPr>
      <w:drawing>
        <wp:anchor distT="152400" distB="152400" distL="152400" distR="152400" simplePos="0" relativeHeight="251659264" behindDoc="1" locked="1" layoutInCell="1" allowOverlap="0" wp14:anchorId="1030CAB9" wp14:editId="3ADDD833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815514">
    <w:abstractNumId w:val="3"/>
  </w:num>
  <w:num w:numId="2" w16cid:durableId="1700624272">
    <w:abstractNumId w:val="9"/>
  </w:num>
  <w:num w:numId="3" w16cid:durableId="569468009">
    <w:abstractNumId w:val="4"/>
  </w:num>
  <w:num w:numId="4" w16cid:durableId="544871791">
    <w:abstractNumId w:val="6"/>
  </w:num>
  <w:num w:numId="5" w16cid:durableId="408621505">
    <w:abstractNumId w:val="10"/>
  </w:num>
  <w:num w:numId="6" w16cid:durableId="537472886">
    <w:abstractNumId w:val="7"/>
  </w:num>
  <w:num w:numId="7" w16cid:durableId="1821530674">
    <w:abstractNumId w:val="1"/>
  </w:num>
  <w:num w:numId="8" w16cid:durableId="1768191449">
    <w:abstractNumId w:val="2"/>
  </w:num>
  <w:num w:numId="9" w16cid:durableId="1009721101">
    <w:abstractNumId w:val="11"/>
  </w:num>
  <w:num w:numId="10" w16cid:durableId="1790970617">
    <w:abstractNumId w:val="8"/>
  </w:num>
  <w:num w:numId="11" w16cid:durableId="138883718">
    <w:abstractNumId w:val="0"/>
  </w:num>
  <w:num w:numId="12" w16cid:durableId="16021806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A0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B26C8"/>
    <w:rsid w:val="000C23AA"/>
    <w:rsid w:val="000C609C"/>
    <w:rsid w:val="000C6A0C"/>
    <w:rsid w:val="000D7556"/>
    <w:rsid w:val="000E1B1B"/>
    <w:rsid w:val="000E7A12"/>
    <w:rsid w:val="00100692"/>
    <w:rsid w:val="001044CD"/>
    <w:rsid w:val="00126BA0"/>
    <w:rsid w:val="00126D7E"/>
    <w:rsid w:val="00133C49"/>
    <w:rsid w:val="00144D20"/>
    <w:rsid w:val="00144F5B"/>
    <w:rsid w:val="00163B03"/>
    <w:rsid w:val="00171EF3"/>
    <w:rsid w:val="00191B49"/>
    <w:rsid w:val="0019577E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56CF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569A9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01E"/>
    <w:rsid w:val="00741D89"/>
    <w:rsid w:val="007439F1"/>
    <w:rsid w:val="00766AC5"/>
    <w:rsid w:val="007A407A"/>
    <w:rsid w:val="007C7342"/>
    <w:rsid w:val="007D019B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A1B24"/>
    <w:rsid w:val="009B0370"/>
    <w:rsid w:val="009E228F"/>
    <w:rsid w:val="00A15CAC"/>
    <w:rsid w:val="00A27BAE"/>
    <w:rsid w:val="00A640A5"/>
    <w:rsid w:val="00A65C3C"/>
    <w:rsid w:val="00A7181B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07F"/>
    <w:rsid w:val="00B415B3"/>
    <w:rsid w:val="00B445C0"/>
    <w:rsid w:val="00B45E88"/>
    <w:rsid w:val="00B478EF"/>
    <w:rsid w:val="00B67680"/>
    <w:rsid w:val="00B73C81"/>
    <w:rsid w:val="00B80711"/>
    <w:rsid w:val="00BB2E8C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A5BA5"/>
    <w:rsid w:val="00CC1FD9"/>
    <w:rsid w:val="00CD5D12"/>
    <w:rsid w:val="00CE2C4E"/>
    <w:rsid w:val="00CE5877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D4938"/>
    <w:rsid w:val="00DE4F80"/>
    <w:rsid w:val="00E0171D"/>
    <w:rsid w:val="00E06D18"/>
    <w:rsid w:val="00E304A2"/>
    <w:rsid w:val="00E373B9"/>
    <w:rsid w:val="00E40AE5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24868"/>
    <w:rsid w:val="00F348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BDBFC8"/>
  <w15:chartTrackingRefBased/>
  <w15:docId w15:val="{4D7B0E93-9599-4927-807A-56D2D721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B3407F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bojnik\OneDrive%20-%20&#218;&#345;ad%20vl&#225;dy%20&#268;esk&#233;%20republiky\Plocha\PR&#193;CE\4xx%20xx%20SOUHRN_vz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9AF33091-32A7-4378-AD47-9E194217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SOUHRN_vz25.dotx</Template>
  <TotalTime>14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Zábojníková Alena</dc:creator>
  <cp:keywords/>
  <dc:description/>
  <cp:lastModifiedBy>Lenka Schäfer</cp:lastModifiedBy>
  <cp:revision>5</cp:revision>
  <cp:lastPrinted>2025-02-25T12:21:00Z</cp:lastPrinted>
  <dcterms:created xsi:type="dcterms:W3CDTF">2025-10-28T17:45:00Z</dcterms:created>
  <dcterms:modified xsi:type="dcterms:W3CDTF">2025-12-16T07:04:00Z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